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CC" w:rsidRDefault="00D024CC" w:rsidP="00D024CC">
      <w:pPr>
        <w:spacing w:line="270" w:lineRule="atLeas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0</wp:posOffset>
            </wp:positionV>
            <wp:extent cx="1424940" cy="292100"/>
            <wp:effectExtent l="0" t="0" r="3810" b="0"/>
            <wp:wrapThrough wrapText="bothSides">
              <wp:wrapPolygon edited="0">
                <wp:start x="0" y="0"/>
                <wp:lineTo x="0" y="19722"/>
                <wp:lineTo x="21369" y="19722"/>
                <wp:lineTo x="2136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4CC" w:rsidRDefault="00D024CC" w:rsidP="00D024CC">
      <w:pPr>
        <w:pStyle w:val="Listenabsatz"/>
        <w:spacing w:line="270" w:lineRule="atLeast"/>
        <w:rPr>
          <w:rFonts w:ascii="Verdana" w:hAnsi="Verdana"/>
          <w:b/>
          <w:color w:val="000000"/>
          <w:sz w:val="20"/>
          <w:szCs w:val="20"/>
        </w:rPr>
      </w:pPr>
    </w:p>
    <w:p w:rsidR="00D024CC" w:rsidRDefault="00D024CC" w:rsidP="00D024CC">
      <w:pPr>
        <w:pStyle w:val="Listenabsatz"/>
        <w:spacing w:line="270" w:lineRule="atLeast"/>
        <w:rPr>
          <w:rFonts w:ascii="Verdana" w:hAnsi="Verdana"/>
          <w:b/>
          <w:color w:val="000000"/>
          <w:sz w:val="20"/>
          <w:szCs w:val="20"/>
        </w:rPr>
      </w:pPr>
    </w:p>
    <w:p w:rsidR="00D024CC" w:rsidRDefault="00D024CC" w:rsidP="00D024CC">
      <w:pPr>
        <w:pStyle w:val="Listenabsatz"/>
        <w:spacing w:line="270" w:lineRule="atLeast"/>
        <w:rPr>
          <w:rFonts w:ascii="Verdana" w:hAnsi="Verdana"/>
          <w:b/>
          <w:color w:val="000000"/>
          <w:sz w:val="20"/>
          <w:szCs w:val="20"/>
        </w:rPr>
      </w:pPr>
    </w:p>
    <w:p w:rsidR="00D024CC" w:rsidRPr="00D024CC" w:rsidRDefault="00D024CC" w:rsidP="00D024CC">
      <w:pPr>
        <w:pStyle w:val="Listenabsatz"/>
        <w:spacing w:line="270" w:lineRule="atLeast"/>
        <w:rPr>
          <w:rFonts w:ascii="Verdana" w:hAnsi="Verdana"/>
          <w:b/>
          <w:color w:val="000000"/>
          <w:sz w:val="20"/>
          <w:szCs w:val="20"/>
        </w:rPr>
      </w:pPr>
    </w:p>
    <w:p w:rsidR="00D024CC" w:rsidRPr="00D024CC" w:rsidRDefault="00D024CC" w:rsidP="00D024CC">
      <w:pPr>
        <w:pStyle w:val="Listenabsatz"/>
        <w:numPr>
          <w:ilvl w:val="0"/>
          <w:numId w:val="1"/>
        </w:numPr>
        <w:spacing w:line="270" w:lineRule="atLeast"/>
        <w:rPr>
          <w:rFonts w:ascii="Verdana" w:hAnsi="Verdana"/>
          <w:b/>
          <w:color w:val="72AF24"/>
          <w:sz w:val="20"/>
          <w:szCs w:val="20"/>
        </w:rPr>
      </w:pPr>
      <w:r w:rsidRPr="00D024CC">
        <w:rPr>
          <w:rFonts w:ascii="Verdana" w:hAnsi="Verdana"/>
          <w:b/>
          <w:color w:val="72AF24"/>
          <w:sz w:val="20"/>
          <w:szCs w:val="20"/>
        </w:rPr>
        <w:t>Soforthilfe der bayerischen Staatsregierung</w:t>
      </w:r>
    </w:p>
    <w:p w:rsidR="00D024CC" w:rsidRDefault="00D024CC" w:rsidP="00D024CC">
      <w:pPr>
        <w:spacing w:line="270" w:lineRule="atLeast"/>
        <w:rPr>
          <w:rFonts w:ascii="Verdana" w:hAnsi="Verdana"/>
          <w:color w:val="000000"/>
          <w:sz w:val="20"/>
          <w:szCs w:val="20"/>
        </w:rPr>
      </w:pPr>
    </w:p>
    <w:p w:rsidR="00D024CC" w:rsidRDefault="00D024CC" w:rsidP="00D024CC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Zuschüsse werden zur Überwindung der existenzbedrohlichen Wirtschaftslage bzw. des Liquiditätsengpasses gewährt, die durch die </w:t>
      </w:r>
      <w:proofErr w:type="spellStart"/>
      <w:r>
        <w:rPr>
          <w:rFonts w:ascii="Verdana" w:hAnsi="Verdana"/>
          <w:sz w:val="20"/>
          <w:szCs w:val="20"/>
        </w:rPr>
        <w:t>Coronakrise</w:t>
      </w:r>
      <w:proofErr w:type="spellEnd"/>
      <w:r>
        <w:rPr>
          <w:rFonts w:ascii="Verdana" w:hAnsi="Verdana"/>
          <w:sz w:val="20"/>
          <w:szCs w:val="20"/>
        </w:rPr>
        <w:t xml:space="preserve"> vom Frühjahr 2020 entstanden sind. </w:t>
      </w:r>
    </w:p>
    <w:p w:rsidR="00D024CC" w:rsidRDefault="00D024CC" w:rsidP="00D024CC">
      <w:pPr>
        <w:pStyle w:val="Default"/>
        <w:rPr>
          <w:rFonts w:ascii="Verdana" w:hAnsi="Verdana"/>
          <w:sz w:val="20"/>
          <w:szCs w:val="20"/>
        </w:rPr>
      </w:pPr>
    </w:p>
    <w:p w:rsidR="00D024CC" w:rsidRDefault="00D024CC" w:rsidP="00D024CC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Höhe der Soforthilfe ist gestaffelt nach der Zahl der Beschäftigten: </w:t>
      </w:r>
    </w:p>
    <w:p w:rsidR="00D024CC" w:rsidRDefault="00D024CC" w:rsidP="00D024CC">
      <w:pPr>
        <w:spacing w:line="270" w:lineRule="atLeast"/>
        <w:rPr>
          <w:rFonts w:ascii="Verdana" w:hAnsi="Verdana"/>
          <w:noProof/>
          <w:color w:val="2C3940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</w:rPr>
        <w:t xml:space="preserve">Bis zu 5 Beschäftigte max. 5000 Euro, bis zu 10 Beschäftigte max. 7500 Euro, bis zu 50 Beschäftigte max. 15.000 Euro, bis zu 250 Beschäftigte max. 30.000 Euro (siehe Richtlinie des </w:t>
      </w:r>
      <w:proofErr w:type="spellStart"/>
      <w:r>
        <w:rPr>
          <w:rFonts w:ascii="Verdana" w:hAnsi="Verdana"/>
          <w:sz w:val="20"/>
          <w:szCs w:val="20"/>
        </w:rPr>
        <w:t>StMWi</w:t>
      </w:r>
      <w:proofErr w:type="spellEnd"/>
      <w:r>
        <w:rPr>
          <w:rFonts w:ascii="Verdana" w:hAnsi="Verdana"/>
          <w:sz w:val="20"/>
          <w:szCs w:val="20"/>
        </w:rPr>
        <w:t xml:space="preserve"> v. 17.März 2020, Az:.3560/33/1). </w:t>
      </w:r>
    </w:p>
    <w:p w:rsidR="00D024CC" w:rsidRDefault="00D024CC" w:rsidP="00D024CC">
      <w:pPr>
        <w:spacing w:line="270" w:lineRule="atLeast"/>
        <w:rPr>
          <w:rFonts w:ascii="Verdana" w:hAnsi="Verdana"/>
          <w:noProof/>
          <w:color w:val="2C3940"/>
          <w:sz w:val="20"/>
          <w:szCs w:val="20"/>
          <w:lang w:eastAsia="de-DE"/>
        </w:rPr>
      </w:pPr>
    </w:p>
    <w:p w:rsidR="00D024CC" w:rsidRDefault="00D024CC" w:rsidP="00D024CC">
      <w:pPr>
        <w:spacing w:line="270" w:lineRule="atLeast"/>
        <w:rPr>
          <w:rFonts w:ascii="Verdana" w:hAnsi="Verdana"/>
          <w:noProof/>
          <w:color w:val="2C3940"/>
          <w:sz w:val="20"/>
          <w:szCs w:val="20"/>
          <w:lang w:eastAsia="de-DE"/>
        </w:rPr>
      </w:pPr>
      <w:r>
        <w:rPr>
          <w:rFonts w:ascii="Verdana" w:hAnsi="Verdana"/>
          <w:noProof/>
          <w:color w:val="2C3940"/>
          <w:sz w:val="20"/>
          <w:szCs w:val="20"/>
          <w:lang w:eastAsia="de-DE"/>
        </w:rPr>
        <w:t xml:space="preserve">Die Soforthilfe ist bekannt aus den letzten Ereignissen, wie Hochwasserschäden und die Hilfe hierfür. Das Formular finden Sie anbei. </w:t>
      </w:r>
    </w:p>
    <w:p w:rsidR="00D024CC" w:rsidRDefault="00D024CC" w:rsidP="00D024CC">
      <w:pPr>
        <w:spacing w:line="270" w:lineRule="atLeast"/>
        <w:rPr>
          <w:rFonts w:ascii="Verdana" w:hAnsi="Verdana"/>
          <w:noProof/>
          <w:color w:val="2C3940"/>
          <w:sz w:val="20"/>
          <w:szCs w:val="20"/>
          <w:lang w:eastAsia="de-DE"/>
        </w:rPr>
      </w:pPr>
    </w:p>
    <w:p w:rsidR="00D024CC" w:rsidRDefault="00D024CC" w:rsidP="00D024CC">
      <w:pPr>
        <w:spacing w:line="270" w:lineRule="atLeast"/>
        <w:rPr>
          <w:rFonts w:ascii="Verdana" w:hAnsi="Verdana"/>
          <w:noProof/>
          <w:color w:val="2C3940"/>
          <w:sz w:val="20"/>
          <w:szCs w:val="20"/>
          <w:lang w:eastAsia="de-DE"/>
        </w:rPr>
      </w:pPr>
      <w:bookmarkStart w:id="0" w:name="_GoBack"/>
      <w:bookmarkEnd w:id="0"/>
    </w:p>
    <w:p w:rsidR="00D024CC" w:rsidRPr="00D024CC" w:rsidRDefault="00D024CC" w:rsidP="00D024CC">
      <w:pPr>
        <w:pStyle w:val="Listenabsatz"/>
        <w:numPr>
          <w:ilvl w:val="0"/>
          <w:numId w:val="1"/>
        </w:numPr>
        <w:spacing w:line="270" w:lineRule="atLeast"/>
        <w:rPr>
          <w:rFonts w:ascii="Verdana" w:hAnsi="Verdana"/>
          <w:b/>
          <w:color w:val="72AF24"/>
          <w:sz w:val="20"/>
          <w:szCs w:val="20"/>
        </w:rPr>
      </w:pPr>
      <w:r w:rsidRPr="00D024CC">
        <w:rPr>
          <w:rFonts w:ascii="Verdana" w:hAnsi="Verdana"/>
          <w:b/>
          <w:color w:val="72AF24"/>
          <w:sz w:val="20"/>
          <w:szCs w:val="20"/>
        </w:rPr>
        <w:t>Beantragung KuG</w:t>
      </w:r>
    </w:p>
    <w:p w:rsidR="00D024CC" w:rsidRDefault="00D024CC" w:rsidP="00D024CC">
      <w:pPr>
        <w:spacing w:line="270" w:lineRule="atLeast"/>
        <w:rPr>
          <w:rFonts w:ascii="Verdana" w:hAnsi="Verdana"/>
          <w:noProof/>
          <w:color w:val="2C3940"/>
          <w:sz w:val="20"/>
          <w:szCs w:val="20"/>
          <w:lang w:eastAsia="de-DE"/>
        </w:rPr>
      </w:pPr>
    </w:p>
    <w:p w:rsidR="00D024CC" w:rsidRDefault="00D024CC" w:rsidP="00D024CC">
      <w:pPr>
        <w:spacing w:line="270" w:lineRule="atLeast"/>
        <w:rPr>
          <w:rFonts w:ascii="Verdana" w:hAnsi="Verdana"/>
          <w:noProof/>
          <w:color w:val="2C3940"/>
          <w:sz w:val="20"/>
          <w:szCs w:val="20"/>
          <w:lang w:eastAsia="de-DE"/>
        </w:rPr>
      </w:pPr>
      <w:r>
        <w:rPr>
          <w:rFonts w:ascii="Verdana" w:hAnsi="Verdana"/>
          <w:noProof/>
          <w:color w:val="2C3940"/>
          <w:sz w:val="20"/>
          <w:szCs w:val="20"/>
          <w:lang w:eastAsia="de-DE"/>
        </w:rPr>
        <w:t>Das Kurzarbeitergeld wird/ kann beantragt werden bei Auftrags- und Umsatzeinbrüchen des Unternehmens und einhergehenden Verdienstausfällen der Mitarbeiter.</w:t>
      </w:r>
    </w:p>
    <w:p w:rsidR="00D024CC" w:rsidRDefault="00D024CC" w:rsidP="00D024CC">
      <w:pPr>
        <w:shd w:val="clear" w:color="auto" w:fill="EDEDED"/>
        <w:spacing w:before="235" w:after="100"/>
        <w:outlineLvl w:val="3"/>
        <w:rPr>
          <w:rFonts w:ascii="Verdana" w:hAnsi="Verdana" w:cs="Arial"/>
          <w:b/>
          <w:bCs/>
          <w:color w:val="020E25"/>
          <w:sz w:val="20"/>
          <w:szCs w:val="20"/>
          <w:lang w:eastAsia="de-DE"/>
        </w:rPr>
      </w:pPr>
      <w:r>
        <w:rPr>
          <w:rFonts w:ascii="Verdana" w:hAnsi="Verdana" w:cs="Arial"/>
          <w:b/>
          <w:bCs/>
          <w:color w:val="020E25"/>
          <w:sz w:val="20"/>
          <w:szCs w:val="20"/>
          <w:lang w:eastAsia="de-DE"/>
        </w:rPr>
        <w:t>Info (Stand: 17.03.2020)</w:t>
      </w:r>
    </w:p>
    <w:p w:rsidR="00D024CC" w:rsidRDefault="00D024CC" w:rsidP="00D024CC">
      <w:pPr>
        <w:shd w:val="clear" w:color="auto" w:fill="EDEDED"/>
        <w:spacing w:after="140"/>
        <w:rPr>
          <w:rFonts w:ascii="Verdana" w:hAnsi="Verdana" w:cs="Arial"/>
          <w:color w:val="020E25"/>
          <w:sz w:val="20"/>
          <w:szCs w:val="20"/>
          <w:lang w:eastAsia="de-DE"/>
        </w:rPr>
      </w:pPr>
      <w:r>
        <w:rPr>
          <w:rFonts w:ascii="Verdana" w:hAnsi="Verdana" w:cs="Arial"/>
          <w:color w:val="020E25"/>
          <w:sz w:val="20"/>
          <w:szCs w:val="20"/>
          <w:lang w:eastAsia="de-DE"/>
        </w:rPr>
        <w:t>Bundesregierung und Gesetzgeber haben Sonderregelungen und Erleichterungen zum Bezug von Kurzarbeitergeld erlassen.</w:t>
      </w:r>
    </w:p>
    <w:p w:rsidR="00D024CC" w:rsidRDefault="00D024CC" w:rsidP="00D024CC">
      <w:pPr>
        <w:shd w:val="clear" w:color="auto" w:fill="EDEDED"/>
        <w:spacing w:after="140"/>
        <w:rPr>
          <w:rFonts w:ascii="Verdana" w:hAnsi="Verdana" w:cs="Arial"/>
          <w:color w:val="020E25"/>
          <w:sz w:val="20"/>
          <w:szCs w:val="20"/>
          <w:lang w:eastAsia="de-DE"/>
        </w:rPr>
      </w:pPr>
      <w:r>
        <w:rPr>
          <w:rFonts w:ascii="Verdana" w:hAnsi="Verdana" w:cs="Arial"/>
          <w:color w:val="020E25"/>
          <w:sz w:val="20"/>
          <w:szCs w:val="20"/>
          <w:lang w:eastAsia="de-DE"/>
        </w:rPr>
        <w:t>Die wichtigsten Neuerungen im Einzelnen:</w:t>
      </w:r>
    </w:p>
    <w:p w:rsidR="00D024CC" w:rsidRDefault="00D024CC" w:rsidP="00D024CC">
      <w:pPr>
        <w:numPr>
          <w:ilvl w:val="0"/>
          <w:numId w:val="2"/>
        </w:numPr>
        <w:shd w:val="clear" w:color="auto" w:fill="EDEDED"/>
        <w:spacing w:before="100" w:beforeAutospacing="1" w:after="100" w:afterAutospacing="1"/>
        <w:ind w:left="0"/>
        <w:rPr>
          <w:rFonts w:ascii="Verdana" w:hAnsi="Verdana" w:cs="Arial"/>
          <w:color w:val="020E25"/>
          <w:sz w:val="20"/>
          <w:szCs w:val="20"/>
          <w:lang w:eastAsia="de-DE"/>
        </w:rPr>
      </w:pPr>
      <w:r>
        <w:rPr>
          <w:rFonts w:ascii="Verdana" w:hAnsi="Verdana" w:cs="Arial"/>
          <w:color w:val="020E25"/>
          <w:sz w:val="20"/>
          <w:szCs w:val="20"/>
          <w:lang w:eastAsia="de-DE"/>
        </w:rPr>
        <w:t>Anspruch auf Kurzarbeitergeld besteht, wenn mindestens 10 Prozent der Beschäftigten einen Arbeitsentgeltausfall von mehr als 10 Prozent haben.</w:t>
      </w:r>
    </w:p>
    <w:p w:rsidR="00D024CC" w:rsidRDefault="00D024CC" w:rsidP="00D024CC">
      <w:pPr>
        <w:numPr>
          <w:ilvl w:val="0"/>
          <w:numId w:val="2"/>
        </w:numPr>
        <w:shd w:val="clear" w:color="auto" w:fill="EDEDED"/>
        <w:spacing w:before="100" w:beforeAutospacing="1" w:after="100" w:afterAutospacing="1"/>
        <w:ind w:left="0"/>
        <w:rPr>
          <w:rFonts w:ascii="Verdana" w:hAnsi="Verdana" w:cs="Arial"/>
          <w:color w:val="020E25"/>
          <w:sz w:val="20"/>
          <w:szCs w:val="20"/>
          <w:lang w:eastAsia="de-DE"/>
        </w:rPr>
      </w:pPr>
      <w:r>
        <w:rPr>
          <w:rFonts w:ascii="Verdana" w:hAnsi="Verdana" w:cs="Arial"/>
          <w:color w:val="020E25"/>
          <w:sz w:val="20"/>
          <w:szCs w:val="20"/>
          <w:lang w:eastAsia="de-DE"/>
        </w:rPr>
        <w:t>Anfallende Sozialversicherungsbeiträge für ausgefallene Arbeitsstunden werden zu 100 Prozent erstattet.</w:t>
      </w:r>
    </w:p>
    <w:p w:rsidR="00D024CC" w:rsidRDefault="00D024CC" w:rsidP="00D024CC">
      <w:pPr>
        <w:numPr>
          <w:ilvl w:val="0"/>
          <w:numId w:val="2"/>
        </w:numPr>
        <w:shd w:val="clear" w:color="auto" w:fill="EDEDED"/>
        <w:spacing w:before="100" w:beforeAutospacing="1" w:after="100" w:afterAutospacing="1"/>
        <w:ind w:left="0"/>
        <w:rPr>
          <w:rFonts w:ascii="Verdana" w:hAnsi="Verdana" w:cs="Arial"/>
          <w:color w:val="020E25"/>
          <w:sz w:val="20"/>
          <w:szCs w:val="20"/>
          <w:lang w:eastAsia="de-DE"/>
        </w:rPr>
      </w:pPr>
      <w:r>
        <w:rPr>
          <w:rFonts w:ascii="Verdana" w:hAnsi="Verdana" w:cs="Arial"/>
          <w:color w:val="020E25"/>
          <w:sz w:val="20"/>
          <w:szCs w:val="20"/>
          <w:lang w:eastAsia="de-DE"/>
        </w:rPr>
        <w:t>Leiharbeitnehmerinnen und Leiharbeitnehmer können ebenfalls in Kurzarbeit gehen und haben Anspruch auf Kurzarbeitergeld</w:t>
      </w:r>
    </w:p>
    <w:p w:rsidR="00D024CC" w:rsidRDefault="00D024CC" w:rsidP="00D024CC">
      <w:pPr>
        <w:numPr>
          <w:ilvl w:val="0"/>
          <w:numId w:val="2"/>
        </w:numPr>
        <w:shd w:val="clear" w:color="auto" w:fill="EDEDED"/>
        <w:spacing w:before="100" w:beforeAutospacing="1" w:after="100" w:afterAutospacing="1"/>
        <w:ind w:left="0"/>
        <w:rPr>
          <w:rFonts w:ascii="Verdana" w:hAnsi="Verdana" w:cs="Arial"/>
          <w:color w:val="020E25"/>
          <w:sz w:val="20"/>
          <w:szCs w:val="20"/>
          <w:lang w:eastAsia="de-DE"/>
        </w:rPr>
      </w:pPr>
      <w:r>
        <w:rPr>
          <w:rFonts w:ascii="Verdana" w:hAnsi="Verdana" w:cs="Arial"/>
          <w:color w:val="020E25"/>
          <w:sz w:val="20"/>
          <w:szCs w:val="20"/>
          <w:lang w:eastAsia="de-DE"/>
        </w:rPr>
        <w:t>Auf den Aufbau negativer Arbeitszeitsalden (wenn dies tarifvertraglich geregelt ist) kann verzichtet werden.</w:t>
      </w:r>
    </w:p>
    <w:p w:rsidR="00D024CC" w:rsidRDefault="00D024CC" w:rsidP="00D024CC">
      <w:pPr>
        <w:shd w:val="clear" w:color="auto" w:fill="EDEDED"/>
        <w:spacing w:after="140"/>
        <w:rPr>
          <w:rFonts w:ascii="Verdana" w:hAnsi="Verdana" w:cs="Arial"/>
          <w:color w:val="020E25"/>
          <w:sz w:val="20"/>
          <w:szCs w:val="20"/>
          <w:lang w:eastAsia="de-DE"/>
        </w:rPr>
      </w:pPr>
      <w:r>
        <w:rPr>
          <w:rFonts w:ascii="Verdana" w:hAnsi="Verdana" w:cs="Arial"/>
          <w:color w:val="020E25"/>
          <w:sz w:val="20"/>
          <w:szCs w:val="20"/>
          <w:lang w:eastAsia="de-DE"/>
        </w:rPr>
        <w:t>Die weiteren Voraussetzungen zur Inanspruchnahme von Kurzarbeitergeld behalten ihre Gültigkeit</w:t>
      </w:r>
    </w:p>
    <w:p w:rsidR="00D024CC" w:rsidRDefault="00D024CC" w:rsidP="00D024CC">
      <w:pPr>
        <w:spacing w:line="270" w:lineRule="atLeast"/>
        <w:rPr>
          <w:rFonts w:ascii="Verdana" w:hAnsi="Verdana"/>
          <w:noProof/>
          <w:color w:val="2C3940"/>
          <w:sz w:val="20"/>
          <w:szCs w:val="20"/>
          <w:lang w:eastAsia="de-DE"/>
        </w:rPr>
      </w:pPr>
      <w:r>
        <w:rPr>
          <w:rFonts w:ascii="Verdana" w:hAnsi="Verdana"/>
          <w:noProof/>
          <w:color w:val="2C3940"/>
          <w:sz w:val="20"/>
          <w:szCs w:val="20"/>
          <w:lang w:eastAsia="de-DE"/>
        </w:rPr>
        <w:t>Das KuG kann auch für Abteilungen im Unternehmen beantragt werden.</w:t>
      </w:r>
    </w:p>
    <w:p w:rsidR="00D024CC" w:rsidRDefault="00D024CC" w:rsidP="00D024CC">
      <w:pPr>
        <w:spacing w:line="270" w:lineRule="atLeast"/>
        <w:rPr>
          <w:rFonts w:ascii="Verdana" w:hAnsi="Verdana"/>
          <w:noProof/>
          <w:sz w:val="20"/>
          <w:szCs w:val="20"/>
          <w:lang w:eastAsia="de-DE"/>
        </w:rPr>
      </w:pPr>
    </w:p>
    <w:p w:rsidR="00D024CC" w:rsidRDefault="00D024CC" w:rsidP="00D024CC">
      <w:pPr>
        <w:spacing w:line="270" w:lineRule="atLeast"/>
        <w:rPr>
          <w:rFonts w:ascii="Verdana" w:hAnsi="Verdana"/>
          <w:noProof/>
          <w:sz w:val="20"/>
          <w:szCs w:val="20"/>
          <w:lang w:eastAsia="de-DE"/>
        </w:rPr>
      </w:pPr>
      <w:r>
        <w:rPr>
          <w:rFonts w:ascii="Verdana" w:hAnsi="Verdana"/>
          <w:noProof/>
          <w:sz w:val="20"/>
          <w:szCs w:val="20"/>
          <w:lang w:eastAsia="de-DE"/>
        </w:rPr>
        <w:t>Soviel Information für den Augenblick. Bei Rückfragen ist unsere Kanzlei vorerst weiterhin erreichbar.</w:t>
      </w:r>
    </w:p>
    <w:p w:rsidR="00D024CC" w:rsidRDefault="00D024CC" w:rsidP="00D024CC">
      <w:pPr>
        <w:spacing w:line="270" w:lineRule="atLeast"/>
        <w:rPr>
          <w:rFonts w:ascii="Verdana" w:hAnsi="Verdana"/>
          <w:noProof/>
          <w:sz w:val="20"/>
          <w:szCs w:val="20"/>
          <w:lang w:eastAsia="de-DE"/>
        </w:rPr>
      </w:pPr>
    </w:p>
    <w:p w:rsidR="00376437" w:rsidRDefault="00D024CC" w:rsidP="00D024CC">
      <w:pPr>
        <w:rPr>
          <w:rFonts w:ascii="Verdana" w:hAnsi="Verdana"/>
          <w:b/>
          <w:noProof/>
          <w:color w:val="0B3647"/>
          <w:sz w:val="20"/>
          <w:szCs w:val="20"/>
          <w:lang w:eastAsia="de-DE"/>
        </w:rPr>
      </w:pPr>
      <w:r w:rsidRPr="00D024CC">
        <w:rPr>
          <w:rFonts w:ascii="Verdana" w:hAnsi="Verdana"/>
          <w:b/>
          <w:noProof/>
          <w:color w:val="0B3647"/>
          <w:sz w:val="20"/>
          <w:szCs w:val="20"/>
          <w:lang w:eastAsia="de-DE"/>
        </w:rPr>
        <w:t>+++ BLEIBEN SIE GESUND +++</w:t>
      </w:r>
    </w:p>
    <w:p w:rsidR="00D024CC" w:rsidRDefault="00D024CC" w:rsidP="00D024CC">
      <w:pPr>
        <w:rPr>
          <w:rFonts w:ascii="Verdana" w:hAnsi="Verdana"/>
          <w:b/>
          <w:noProof/>
          <w:color w:val="0B3647"/>
          <w:sz w:val="20"/>
          <w:szCs w:val="20"/>
          <w:lang w:eastAsia="de-DE"/>
        </w:rPr>
      </w:pPr>
    </w:p>
    <w:p w:rsidR="00D024CC" w:rsidRDefault="00D024CC" w:rsidP="00D024CC">
      <w:pPr>
        <w:rPr>
          <w:rFonts w:ascii="Verdana" w:hAnsi="Verdana"/>
          <w:b/>
          <w:noProof/>
          <w:color w:val="0B3647"/>
          <w:sz w:val="20"/>
          <w:szCs w:val="20"/>
          <w:lang w:eastAsia="de-DE"/>
        </w:rPr>
      </w:pPr>
    </w:p>
    <w:p w:rsidR="00D024CC" w:rsidRPr="00D024CC" w:rsidRDefault="00D024CC" w:rsidP="00D024CC">
      <w:pPr>
        <w:rPr>
          <w:b/>
          <w:color w:val="0B3647"/>
        </w:rPr>
      </w:pPr>
      <w:r>
        <w:rPr>
          <w:rFonts w:ascii="Verdana" w:hAnsi="Verdana"/>
          <w:b/>
          <w:noProof/>
          <w:color w:val="0B3647"/>
          <w:sz w:val="20"/>
          <w:szCs w:val="20"/>
          <w:lang w:eastAsia="de-DE"/>
        </w:rPr>
        <w:t>Ihr Assel &amp; Partner Team</w:t>
      </w:r>
    </w:p>
    <w:sectPr w:rsidR="00D024CC" w:rsidRPr="00D024CC" w:rsidSect="00D024CC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6FCC"/>
    <w:multiLevelType w:val="multilevel"/>
    <w:tmpl w:val="57027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A535A"/>
    <w:multiLevelType w:val="hybridMultilevel"/>
    <w:tmpl w:val="51A2427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CC"/>
    <w:rsid w:val="00376437"/>
    <w:rsid w:val="00D0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DC64"/>
  <w15:chartTrackingRefBased/>
  <w15:docId w15:val="{522006CE-7A83-4001-AD83-77B0EE47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4C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24CC"/>
    <w:pPr>
      <w:ind w:left="720"/>
    </w:pPr>
  </w:style>
  <w:style w:type="paragraph" w:customStyle="1" w:styleId="Default">
    <w:name w:val="Default"/>
    <w:rsid w:val="00D02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Himmrich</dc:creator>
  <cp:keywords/>
  <dc:description/>
  <cp:lastModifiedBy>Svenja Himmrich</cp:lastModifiedBy>
  <cp:revision>1</cp:revision>
  <dcterms:created xsi:type="dcterms:W3CDTF">2020-03-18T11:06:00Z</dcterms:created>
  <dcterms:modified xsi:type="dcterms:W3CDTF">2020-03-18T11:11:00Z</dcterms:modified>
</cp:coreProperties>
</file>